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637F5" w:rsidRDefault="00655AD8">
      <w:pPr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>Call-Off Schedule 19 (Scottish Law)</w:t>
      </w:r>
      <w:r>
        <w:rPr>
          <w:rFonts w:ascii="Arial" w:eastAsia="Arial" w:hAnsi="Arial" w:cs="Arial"/>
          <w:sz w:val="32"/>
          <w:szCs w:val="32"/>
        </w:rPr>
        <w:t xml:space="preserve"> </w:t>
      </w:r>
    </w:p>
    <w:p w14:paraId="00000002" w14:textId="77777777" w:rsidR="00F637F5" w:rsidRDefault="00655AD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color w:val="000000"/>
        </w:rPr>
      </w:pPr>
      <w:r>
        <w:rPr>
          <w:rFonts w:ascii="Arial" w:eastAsia="Arial" w:hAnsi="Arial" w:cs="Arial"/>
          <w:b/>
          <w:color w:val="000000"/>
        </w:rPr>
        <w:t>When you should use this Schedule</w:t>
      </w:r>
    </w:p>
    <w:p w14:paraId="00000003" w14:textId="77777777" w:rsidR="00F637F5" w:rsidRDefault="00655AD8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This Call-Off Schedule 19 may be included to adapt the Core Terms and Schedules so that the Call </w:t>
      </w:r>
      <w:proofErr w:type="gramStart"/>
      <w:r>
        <w:rPr>
          <w:rFonts w:ascii="Arial" w:eastAsia="Arial" w:hAnsi="Arial" w:cs="Arial"/>
          <w:color w:val="000000"/>
        </w:rPr>
        <w:t>Off</w:t>
      </w:r>
      <w:proofErr w:type="gramEnd"/>
      <w:r>
        <w:rPr>
          <w:rFonts w:ascii="Arial" w:eastAsia="Arial" w:hAnsi="Arial" w:cs="Arial"/>
          <w:color w:val="000000"/>
        </w:rPr>
        <w:t xml:space="preserve"> Contract is under Scottish Law.</w:t>
      </w:r>
    </w:p>
    <w:p w14:paraId="00000004" w14:textId="77777777" w:rsidR="00F637F5" w:rsidRDefault="00655A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color w:val="000000"/>
        </w:rPr>
      </w:pPr>
      <w:r>
        <w:rPr>
          <w:rFonts w:ascii="Arial" w:eastAsia="Arial" w:hAnsi="Arial" w:cs="Arial"/>
          <w:b/>
          <w:color w:val="000000"/>
        </w:rPr>
        <w:t>Changes to the Core Terms</w:t>
      </w:r>
    </w:p>
    <w:p w14:paraId="00000005" w14:textId="77777777" w:rsidR="00F637F5" w:rsidRDefault="00655AD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</w:rPr>
        <w:t>“</w:t>
      </w:r>
      <w:r>
        <w:rPr>
          <w:rFonts w:ascii="Arial" w:eastAsia="Arial" w:hAnsi="Arial" w:cs="Arial"/>
          <w:color w:val="000000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</w:rPr>
        <w:t>”.</w:t>
      </w:r>
      <w:r>
        <w:rPr>
          <w:rFonts w:ascii="Arial" w:eastAsia="Arial" w:hAnsi="Arial" w:cs="Arial"/>
          <w:color w:val="000000"/>
        </w:rPr>
        <w:t xml:space="preserve"> References to “</w:t>
      </w:r>
      <w:r>
        <w:rPr>
          <w:rFonts w:ascii="Arial" w:eastAsia="Arial" w:hAnsi="Arial" w:cs="Arial"/>
          <w:i/>
          <w:color w:val="000000"/>
        </w:rPr>
        <w:t>CRTPA</w:t>
      </w:r>
      <w:r>
        <w:rPr>
          <w:rFonts w:ascii="Arial" w:eastAsia="Arial" w:hAnsi="Arial" w:cs="Arial"/>
          <w:color w:val="000000"/>
        </w:rPr>
        <w:t>” shall be replaced by “</w:t>
      </w:r>
      <w:r>
        <w:rPr>
          <w:rFonts w:ascii="Arial" w:eastAsia="Arial" w:hAnsi="Arial" w:cs="Arial"/>
          <w:color w:val="000000"/>
        </w:rPr>
        <w:t>CTPRSA</w:t>
      </w:r>
      <w:r>
        <w:rPr>
          <w:rFonts w:ascii="Arial" w:eastAsia="Arial" w:hAnsi="Arial" w:cs="Arial"/>
          <w:color w:val="000000"/>
        </w:rPr>
        <w:t>”.</w:t>
      </w:r>
    </w:p>
    <w:p w14:paraId="00000006" w14:textId="77777777" w:rsidR="00F637F5" w:rsidRDefault="00655AD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Clause 34 (Resolvin</w:t>
      </w:r>
      <w:r>
        <w:rPr>
          <w:rFonts w:ascii="Arial" w:eastAsia="Arial" w:hAnsi="Arial" w:cs="Arial"/>
          <w:color w:val="000000"/>
        </w:rPr>
        <w:t>g Disputes):</w:t>
      </w:r>
    </w:p>
    <w:p w14:paraId="00000007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8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Clause 34.3  The term “Courts</w:t>
      </w:r>
      <w:r>
        <w:rPr>
          <w:rFonts w:ascii="Arial" w:eastAsia="Arial" w:hAnsi="Arial" w:cs="Arial"/>
          <w:color w:val="000000"/>
        </w:rPr>
        <w:t xml:space="preserve"> of England and Wales” shall be amended to read “</w:t>
      </w:r>
      <w:r>
        <w:rPr>
          <w:rFonts w:ascii="Arial" w:eastAsia="Arial" w:hAnsi="Arial" w:cs="Arial"/>
          <w:b/>
          <w:color w:val="000000"/>
        </w:rPr>
        <w:t>Court of Session</w:t>
      </w:r>
      <w:r>
        <w:rPr>
          <w:rFonts w:ascii="Arial" w:eastAsia="Arial" w:hAnsi="Arial" w:cs="Arial"/>
          <w:color w:val="000000"/>
        </w:rPr>
        <w:t xml:space="preserve">” </w:t>
      </w:r>
    </w:p>
    <w:p w14:paraId="00000009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Clause 34.4 – Conduct of Arbitration. </w:t>
      </w:r>
    </w:p>
    <w:p w14:paraId="0000000A" w14:textId="77777777" w:rsidR="00F637F5" w:rsidRDefault="00655AD8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The words </w:t>
      </w:r>
      <w:r>
        <w:rPr>
          <w:rFonts w:ascii="Arial" w:eastAsia="Arial" w:hAnsi="Arial" w:cs="Arial"/>
          <w:b/>
          <w:color w:val="000000"/>
        </w:rPr>
        <w:t>“under the London Court of International Arbitration rules current at the time of the Dispute”</w:t>
      </w:r>
      <w:r>
        <w:rPr>
          <w:rFonts w:ascii="Arial" w:eastAsia="Arial" w:hAnsi="Arial" w:cs="Arial"/>
          <w:color w:val="000000"/>
        </w:rPr>
        <w:t xml:space="preserve"> shall be deleted.</w:t>
      </w:r>
    </w:p>
    <w:p w14:paraId="0000000B" w14:textId="77777777" w:rsidR="00F637F5" w:rsidRDefault="00655AD8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The seat or legal place of the arbitration shall be amended so that it takes place in “</w:t>
      </w:r>
      <w:r>
        <w:rPr>
          <w:rFonts w:ascii="Arial" w:eastAsia="Arial" w:hAnsi="Arial" w:cs="Arial"/>
          <w:b/>
          <w:color w:val="000000"/>
        </w:rPr>
        <w:t>Edinburgh</w:t>
      </w:r>
      <w:r>
        <w:rPr>
          <w:rFonts w:ascii="Arial" w:eastAsia="Arial" w:hAnsi="Arial" w:cs="Arial"/>
          <w:color w:val="000000"/>
        </w:rPr>
        <w:t>” as opposed to “</w:t>
      </w:r>
      <w:r>
        <w:rPr>
          <w:rFonts w:ascii="Arial" w:eastAsia="Arial" w:hAnsi="Arial" w:cs="Arial"/>
          <w:b/>
          <w:color w:val="000000"/>
        </w:rPr>
        <w:t>London</w:t>
      </w:r>
      <w:r>
        <w:rPr>
          <w:rFonts w:ascii="Arial" w:eastAsia="Arial" w:hAnsi="Arial" w:cs="Arial"/>
          <w:color w:val="000000"/>
        </w:rPr>
        <w:t>”.</w:t>
      </w:r>
    </w:p>
    <w:p w14:paraId="0000000C" w14:textId="77777777" w:rsidR="00F637F5" w:rsidRDefault="00655AD8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Add the following wording “</w:t>
      </w:r>
      <w:r>
        <w:rPr>
          <w:rFonts w:ascii="Arial" w:eastAsia="Arial" w:hAnsi="Arial" w:cs="Arial"/>
          <w:b/>
          <w:color w:val="000000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b/>
          <w:color w:val="000000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</w:rPr>
        <w:t>.”</w:t>
      </w:r>
    </w:p>
    <w:p w14:paraId="0000000D" w14:textId="77777777" w:rsidR="00F637F5" w:rsidRDefault="00655AD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Clause 35 (Which Laws apply) – the words “</w:t>
      </w:r>
      <w:r>
        <w:rPr>
          <w:rFonts w:ascii="Arial" w:eastAsia="Arial" w:hAnsi="Arial" w:cs="Arial"/>
          <w:b/>
          <w:color w:val="000000"/>
        </w:rPr>
        <w:t>English Law</w:t>
      </w:r>
      <w:r>
        <w:rPr>
          <w:rFonts w:ascii="Arial" w:eastAsia="Arial" w:hAnsi="Arial" w:cs="Arial"/>
          <w:color w:val="000000"/>
        </w:rPr>
        <w:t>” shall be replaced by “</w:t>
      </w:r>
      <w:r>
        <w:rPr>
          <w:rFonts w:ascii="Arial" w:eastAsia="Arial" w:hAnsi="Arial" w:cs="Arial"/>
          <w:b/>
          <w:color w:val="000000"/>
        </w:rPr>
        <w:t>the Law of Scotland</w:t>
      </w:r>
      <w:r>
        <w:rPr>
          <w:rFonts w:ascii="Arial" w:eastAsia="Arial" w:hAnsi="Arial" w:cs="Arial"/>
          <w:color w:val="000000"/>
        </w:rPr>
        <w:t>”.</w:t>
      </w:r>
    </w:p>
    <w:p w14:paraId="0000000E" w14:textId="77777777" w:rsidR="00F637F5" w:rsidRDefault="00655A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color w:val="000000"/>
        </w:rPr>
      </w:pPr>
      <w:r>
        <w:rPr>
          <w:rFonts w:ascii="Arial" w:eastAsia="Arial" w:hAnsi="Arial" w:cs="Arial"/>
          <w:b/>
          <w:color w:val="000000"/>
        </w:rPr>
        <w:t>Changes to the Joint Schedules</w:t>
      </w:r>
    </w:p>
    <w:p w14:paraId="0000000F" w14:textId="77777777" w:rsidR="00F637F5" w:rsidRDefault="00655AD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</w:rPr>
        <w:t>Joint Schedule 1 – Definitions shall be amended as follows:</w:t>
      </w:r>
    </w:p>
    <w:p w14:paraId="00000010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The definition of “CRTPA” shall be replaced by “”CTPRSA” the Contract (Third Party Rights) (Scotland) Act 2017”.</w:t>
      </w:r>
    </w:p>
    <w:p w14:paraId="00000011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 the definition of “Dispute” the reference to “</w:t>
      </w:r>
      <w:r>
        <w:rPr>
          <w:rFonts w:ascii="Arial" w:eastAsia="Arial" w:hAnsi="Arial" w:cs="Arial"/>
          <w:b/>
          <w:color w:val="000000"/>
        </w:rPr>
        <w:t>Eng</w:t>
      </w:r>
      <w:r>
        <w:rPr>
          <w:rFonts w:ascii="Arial" w:eastAsia="Arial" w:hAnsi="Arial" w:cs="Arial"/>
          <w:b/>
          <w:color w:val="000000"/>
        </w:rPr>
        <w:t>lish law</w:t>
      </w:r>
      <w:r>
        <w:rPr>
          <w:rFonts w:ascii="Arial" w:eastAsia="Arial" w:hAnsi="Arial" w:cs="Arial"/>
          <w:color w:val="000000"/>
        </w:rPr>
        <w:t>” shall be replaced by “</w:t>
      </w:r>
      <w:r>
        <w:rPr>
          <w:rFonts w:ascii="Arial" w:eastAsia="Arial" w:hAnsi="Arial" w:cs="Arial"/>
          <w:b/>
          <w:color w:val="000000"/>
        </w:rPr>
        <w:t>the Law of Scotland</w:t>
      </w:r>
      <w:r>
        <w:rPr>
          <w:rFonts w:ascii="Arial" w:eastAsia="Arial" w:hAnsi="Arial" w:cs="Arial"/>
          <w:color w:val="000000"/>
        </w:rPr>
        <w:t>” and the reference to the “</w:t>
      </w:r>
      <w:r>
        <w:rPr>
          <w:rFonts w:ascii="Arial" w:eastAsia="Arial" w:hAnsi="Arial" w:cs="Arial"/>
          <w:b/>
          <w:color w:val="000000"/>
        </w:rPr>
        <w:t>English courts</w:t>
      </w:r>
      <w:r>
        <w:rPr>
          <w:rFonts w:ascii="Arial" w:eastAsia="Arial" w:hAnsi="Arial" w:cs="Arial"/>
          <w:color w:val="000000"/>
        </w:rPr>
        <w:t>” shall be replaced by the “</w:t>
      </w:r>
      <w:r>
        <w:rPr>
          <w:rFonts w:ascii="Arial" w:eastAsia="Arial" w:hAnsi="Arial" w:cs="Arial"/>
          <w:b/>
          <w:color w:val="000000"/>
        </w:rPr>
        <w:t>courts of Scotland</w:t>
      </w:r>
      <w:r>
        <w:rPr>
          <w:rFonts w:ascii="Arial" w:eastAsia="Arial" w:hAnsi="Arial" w:cs="Arial"/>
          <w:color w:val="000000"/>
        </w:rPr>
        <w:t>”.</w:t>
      </w:r>
    </w:p>
    <w:p w14:paraId="00000012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</w:rPr>
        <w:t>“</w:t>
      </w:r>
      <w:r>
        <w:rPr>
          <w:rFonts w:ascii="Arial" w:eastAsia="Arial" w:hAnsi="Arial" w:cs="Arial"/>
          <w:b/>
          <w:color w:val="000000"/>
        </w:rPr>
        <w:t>Assignment</w:t>
      </w:r>
      <w:r>
        <w:rPr>
          <w:rFonts w:ascii="Arial" w:eastAsia="Arial" w:hAnsi="Arial" w:cs="Arial"/>
          <w:i/>
          <w:color w:val="000000"/>
        </w:rPr>
        <w:t>”</w:t>
      </w:r>
      <w:r>
        <w:rPr>
          <w:rFonts w:ascii="Arial" w:eastAsia="Arial" w:hAnsi="Arial" w:cs="Arial"/>
          <w:color w:val="000000"/>
        </w:rPr>
        <w:t xml:space="preserve"> replaced by </w:t>
      </w:r>
      <w:r>
        <w:rPr>
          <w:rFonts w:ascii="Arial" w:eastAsia="Arial" w:hAnsi="Arial" w:cs="Arial"/>
          <w:i/>
          <w:color w:val="000000"/>
        </w:rPr>
        <w:t>“</w:t>
      </w:r>
      <w:r>
        <w:rPr>
          <w:rFonts w:ascii="Arial" w:eastAsia="Arial" w:hAnsi="Arial" w:cs="Arial"/>
          <w:b/>
          <w:color w:val="000000"/>
        </w:rPr>
        <w:t>Assignation</w:t>
      </w:r>
      <w:r>
        <w:rPr>
          <w:rFonts w:ascii="Arial" w:eastAsia="Arial" w:hAnsi="Arial" w:cs="Arial"/>
          <w:i/>
          <w:color w:val="000000"/>
        </w:rPr>
        <w:t>”.</w:t>
      </w:r>
    </w:p>
    <w:p w14:paraId="00000013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 the definition of “Losses” the</w:t>
      </w:r>
      <w:r>
        <w:rPr>
          <w:rFonts w:ascii="Arial" w:eastAsia="Arial" w:hAnsi="Arial" w:cs="Arial"/>
          <w:i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word</w:t>
      </w:r>
      <w:r>
        <w:rPr>
          <w:rFonts w:ascii="Arial" w:eastAsia="Arial" w:hAnsi="Arial" w:cs="Arial"/>
          <w:i/>
          <w:color w:val="000000"/>
        </w:rPr>
        <w:t xml:space="preserve"> “</w:t>
      </w:r>
      <w:r>
        <w:rPr>
          <w:rFonts w:ascii="Arial" w:eastAsia="Arial" w:hAnsi="Arial" w:cs="Arial"/>
          <w:b/>
          <w:color w:val="000000"/>
        </w:rPr>
        <w:t>tort</w:t>
      </w:r>
      <w:r>
        <w:rPr>
          <w:rFonts w:ascii="Arial" w:eastAsia="Arial" w:hAnsi="Arial" w:cs="Arial"/>
          <w:i/>
          <w:color w:val="000000"/>
        </w:rPr>
        <w:t>”</w:t>
      </w:r>
      <w:r>
        <w:rPr>
          <w:rFonts w:ascii="Arial" w:eastAsia="Arial" w:hAnsi="Arial" w:cs="Arial"/>
          <w:color w:val="000000"/>
        </w:rPr>
        <w:t xml:space="preserve"> shall be replaced with </w:t>
      </w:r>
      <w:r>
        <w:rPr>
          <w:rFonts w:ascii="Arial" w:eastAsia="Arial" w:hAnsi="Arial" w:cs="Arial"/>
          <w:i/>
          <w:color w:val="000000"/>
        </w:rPr>
        <w:t>“</w:t>
      </w:r>
      <w:r>
        <w:rPr>
          <w:rFonts w:ascii="Arial" w:eastAsia="Arial" w:hAnsi="Arial" w:cs="Arial"/>
          <w:b/>
          <w:color w:val="000000"/>
        </w:rPr>
        <w:t>delict</w:t>
      </w:r>
      <w:r>
        <w:rPr>
          <w:rFonts w:ascii="Arial" w:eastAsia="Arial" w:hAnsi="Arial" w:cs="Arial"/>
          <w:i/>
          <w:color w:val="000000"/>
        </w:rPr>
        <w:t>”.</w:t>
      </w:r>
    </w:p>
    <w:p w14:paraId="00000014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In part (a) of the definition of “Intellectual Property Rights</w:t>
      </w:r>
      <w:r>
        <w:rPr>
          <w:rFonts w:ascii="Arial" w:eastAsia="Arial" w:hAnsi="Arial" w:cs="Arial"/>
          <w:i/>
          <w:color w:val="000000"/>
        </w:rPr>
        <w:t xml:space="preserve">” </w:t>
      </w:r>
      <w:r>
        <w:rPr>
          <w:rFonts w:ascii="Arial" w:eastAsia="Arial" w:hAnsi="Arial" w:cs="Arial"/>
          <w:color w:val="000000"/>
        </w:rPr>
        <w:t>the words</w:t>
      </w:r>
      <w:r>
        <w:rPr>
          <w:rFonts w:ascii="Arial" w:eastAsia="Arial" w:hAnsi="Arial" w:cs="Arial"/>
          <w:i/>
          <w:color w:val="000000"/>
        </w:rPr>
        <w:t xml:space="preserve"> “</w:t>
      </w:r>
      <w:r>
        <w:rPr>
          <w:rFonts w:ascii="Arial" w:eastAsia="Arial" w:hAnsi="Arial" w:cs="Arial"/>
          <w:b/>
          <w:color w:val="000000"/>
        </w:rPr>
        <w:t>Know-How</w:t>
      </w:r>
      <w:r>
        <w:rPr>
          <w:rFonts w:ascii="Arial" w:eastAsia="Arial" w:hAnsi="Arial" w:cs="Arial"/>
          <w:i/>
          <w:color w:val="000000"/>
        </w:rPr>
        <w:t xml:space="preserve">” </w:t>
      </w:r>
      <w:r>
        <w:rPr>
          <w:rFonts w:ascii="Arial" w:eastAsia="Arial" w:hAnsi="Arial" w:cs="Arial"/>
          <w:color w:val="000000"/>
        </w:rPr>
        <w:t>and</w:t>
      </w:r>
      <w:r>
        <w:rPr>
          <w:rFonts w:ascii="Arial" w:eastAsia="Arial" w:hAnsi="Arial" w:cs="Arial"/>
          <w:i/>
          <w:color w:val="000000"/>
        </w:rPr>
        <w:t xml:space="preserve"> “</w:t>
      </w:r>
      <w:r>
        <w:rPr>
          <w:rFonts w:ascii="Arial" w:eastAsia="Arial" w:hAnsi="Arial" w:cs="Arial"/>
          <w:b/>
          <w:color w:val="000000"/>
        </w:rPr>
        <w:t>trade secrets</w:t>
      </w:r>
      <w:r>
        <w:rPr>
          <w:rFonts w:ascii="Arial" w:eastAsia="Arial" w:hAnsi="Arial" w:cs="Arial"/>
          <w:i/>
          <w:color w:val="000000"/>
        </w:rPr>
        <w:t xml:space="preserve">” </w:t>
      </w:r>
      <w:r>
        <w:rPr>
          <w:rFonts w:ascii="Arial" w:eastAsia="Arial" w:hAnsi="Arial" w:cs="Arial"/>
          <w:color w:val="000000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</w:rPr>
        <w:t xml:space="preserve">. </w:t>
      </w:r>
    </w:p>
    <w:p w14:paraId="00000015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“Working Day”: r</w:t>
      </w:r>
      <w:r>
        <w:rPr>
          <w:rFonts w:ascii="Arial" w:eastAsia="Arial" w:hAnsi="Arial" w:cs="Arial"/>
          <w:color w:val="000000"/>
        </w:rPr>
        <w:t>eference to “England and Wales” replaced by “Scotland”</w:t>
      </w:r>
    </w:p>
    <w:p w14:paraId="00000016" w14:textId="77777777" w:rsidR="00F637F5" w:rsidRDefault="00655AD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Where a Guarantee is selected, the following provisions of Joint Schedule 8 – Guarantee shall be amended as follows: </w:t>
      </w:r>
    </w:p>
    <w:p w14:paraId="00000017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Annex 1 – Form of Guarantee WHEREAS (B) “deed” replaced by “contract”</w:t>
      </w:r>
    </w:p>
    <w:p w14:paraId="00000018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Throughout the whole Schedule delete all references to “deed of Guarantee” merely express as “Guarantee” </w:t>
      </w:r>
    </w:p>
    <w:p w14:paraId="00000019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Clause 4.1 Delete references to “England and Wales” when referring to addresses.</w:t>
      </w:r>
    </w:p>
    <w:p w14:paraId="0000001A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Clause 12 – the word “</w:t>
      </w:r>
      <w:r>
        <w:rPr>
          <w:rFonts w:ascii="Arial" w:eastAsia="Arial" w:hAnsi="Arial" w:cs="Arial"/>
          <w:b/>
          <w:color w:val="000000"/>
        </w:rPr>
        <w:t>assignment</w:t>
      </w:r>
      <w:r>
        <w:rPr>
          <w:rFonts w:ascii="Arial" w:eastAsia="Arial" w:hAnsi="Arial" w:cs="Arial"/>
          <w:i/>
          <w:color w:val="000000"/>
        </w:rPr>
        <w:t xml:space="preserve">” </w:t>
      </w:r>
      <w:r>
        <w:rPr>
          <w:rFonts w:ascii="Arial" w:eastAsia="Arial" w:hAnsi="Arial" w:cs="Arial"/>
          <w:color w:val="000000"/>
        </w:rPr>
        <w:t>shall be amended to “assignation”.</w:t>
      </w:r>
    </w:p>
    <w:p w14:paraId="0000001B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Clause 14 – “</w:t>
      </w:r>
      <w:r>
        <w:rPr>
          <w:rFonts w:ascii="Arial" w:eastAsia="Arial" w:hAnsi="Arial" w:cs="Arial"/>
          <w:b/>
          <w:color w:val="000000"/>
        </w:rPr>
        <w:t>Contract (Rights of Third Parties) Act 1999</w:t>
      </w:r>
      <w:r>
        <w:rPr>
          <w:rFonts w:ascii="Arial" w:eastAsia="Arial" w:hAnsi="Arial" w:cs="Arial"/>
          <w:color w:val="000000"/>
        </w:rPr>
        <w:t>” shall be amended to “</w:t>
      </w:r>
      <w:r>
        <w:rPr>
          <w:rFonts w:ascii="Arial" w:eastAsia="Arial" w:hAnsi="Arial" w:cs="Arial"/>
          <w:b/>
          <w:color w:val="000000"/>
        </w:rPr>
        <w:t>Contract (Third Party Rights) (Scotland) Act 2017</w:t>
      </w:r>
      <w:r>
        <w:rPr>
          <w:rFonts w:ascii="Arial" w:eastAsia="Arial" w:hAnsi="Arial" w:cs="Arial"/>
          <w:color w:val="000000"/>
        </w:rPr>
        <w:t>”.</w:t>
      </w:r>
    </w:p>
    <w:p w14:paraId="0000001C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</w:rPr>
        <w:t>“</w:t>
      </w:r>
      <w:r>
        <w:rPr>
          <w:rFonts w:ascii="Arial" w:eastAsia="Arial" w:hAnsi="Arial" w:cs="Arial"/>
          <w:b/>
          <w:color w:val="000000"/>
        </w:rPr>
        <w:t>Courts of England</w:t>
      </w:r>
      <w:r>
        <w:rPr>
          <w:rFonts w:ascii="Arial" w:eastAsia="Arial" w:hAnsi="Arial" w:cs="Arial"/>
          <w:i/>
          <w:color w:val="000000"/>
        </w:rPr>
        <w:t>”</w:t>
      </w:r>
      <w:r>
        <w:rPr>
          <w:rFonts w:ascii="Arial" w:eastAsia="Arial" w:hAnsi="Arial" w:cs="Arial"/>
          <w:color w:val="000000"/>
        </w:rPr>
        <w:t xml:space="preserve"> to be replaced by </w:t>
      </w:r>
      <w:r>
        <w:rPr>
          <w:rFonts w:ascii="Arial" w:eastAsia="Arial" w:hAnsi="Arial" w:cs="Arial"/>
          <w:i/>
          <w:color w:val="000000"/>
        </w:rPr>
        <w:t>“</w:t>
      </w:r>
      <w:r>
        <w:rPr>
          <w:rFonts w:ascii="Arial" w:eastAsia="Arial" w:hAnsi="Arial" w:cs="Arial"/>
          <w:b/>
          <w:color w:val="000000"/>
        </w:rPr>
        <w:t>Court of Session</w:t>
      </w:r>
      <w:r>
        <w:rPr>
          <w:rFonts w:ascii="Arial" w:eastAsia="Arial" w:hAnsi="Arial" w:cs="Arial"/>
          <w:i/>
          <w:color w:val="000000"/>
        </w:rPr>
        <w:t>”.</w:t>
      </w:r>
      <w:r>
        <w:rPr>
          <w:rFonts w:ascii="Arial" w:eastAsia="Arial" w:hAnsi="Arial" w:cs="Arial"/>
          <w:color w:val="000000"/>
        </w:rPr>
        <w:t xml:space="preserve"> References to </w:t>
      </w:r>
      <w:r>
        <w:rPr>
          <w:rFonts w:ascii="Arial" w:eastAsia="Arial" w:hAnsi="Arial" w:cs="Arial"/>
          <w:i/>
          <w:color w:val="000000"/>
        </w:rPr>
        <w:t>“</w:t>
      </w:r>
      <w:r>
        <w:rPr>
          <w:rFonts w:ascii="Arial" w:eastAsia="Arial" w:hAnsi="Arial" w:cs="Arial"/>
          <w:b/>
          <w:color w:val="000000"/>
        </w:rPr>
        <w:t>English</w:t>
      </w:r>
      <w:r>
        <w:rPr>
          <w:rFonts w:ascii="Arial" w:eastAsia="Arial" w:hAnsi="Arial" w:cs="Arial"/>
          <w:i/>
          <w:color w:val="000000"/>
        </w:rPr>
        <w:t>”</w:t>
      </w:r>
      <w:r>
        <w:rPr>
          <w:rFonts w:ascii="Arial" w:eastAsia="Arial" w:hAnsi="Arial" w:cs="Arial"/>
          <w:color w:val="000000"/>
        </w:rPr>
        <w:t xml:space="preserve"> to be replaced by </w:t>
      </w:r>
      <w:r>
        <w:rPr>
          <w:rFonts w:ascii="Arial" w:eastAsia="Arial" w:hAnsi="Arial" w:cs="Arial"/>
          <w:i/>
          <w:color w:val="000000"/>
        </w:rPr>
        <w:t>“</w:t>
      </w:r>
      <w:r>
        <w:rPr>
          <w:rFonts w:ascii="Arial" w:eastAsia="Arial" w:hAnsi="Arial" w:cs="Arial"/>
          <w:b/>
          <w:color w:val="000000"/>
        </w:rPr>
        <w:t>Scottish</w:t>
      </w:r>
      <w:r>
        <w:rPr>
          <w:rFonts w:ascii="Arial" w:eastAsia="Arial" w:hAnsi="Arial" w:cs="Arial"/>
          <w:i/>
          <w:color w:val="000000"/>
        </w:rPr>
        <w:t>”</w:t>
      </w:r>
      <w:r>
        <w:rPr>
          <w:rFonts w:ascii="Arial" w:eastAsia="Arial" w:hAnsi="Arial" w:cs="Arial"/>
          <w:color w:val="000000"/>
        </w:rPr>
        <w:t>. References to “</w:t>
      </w:r>
      <w:r>
        <w:rPr>
          <w:rFonts w:ascii="Arial" w:eastAsia="Arial" w:hAnsi="Arial" w:cs="Arial"/>
          <w:b/>
          <w:color w:val="000000"/>
        </w:rPr>
        <w:t>England and Wales</w:t>
      </w:r>
      <w:r>
        <w:rPr>
          <w:rFonts w:ascii="Arial" w:eastAsia="Arial" w:hAnsi="Arial" w:cs="Arial"/>
          <w:color w:val="000000"/>
        </w:rPr>
        <w:t>” to be replaced by “</w:t>
      </w:r>
      <w:r>
        <w:rPr>
          <w:rFonts w:ascii="Arial" w:eastAsia="Arial" w:hAnsi="Arial" w:cs="Arial"/>
          <w:b/>
          <w:color w:val="000000"/>
        </w:rPr>
        <w:t>Scotland</w:t>
      </w:r>
      <w:r>
        <w:rPr>
          <w:rFonts w:ascii="Arial" w:eastAsia="Arial" w:hAnsi="Arial" w:cs="Arial"/>
          <w:color w:val="000000"/>
        </w:rPr>
        <w:t>”.</w:t>
      </w:r>
    </w:p>
    <w:p w14:paraId="0000001D" w14:textId="77777777" w:rsidR="00F637F5" w:rsidRDefault="00655AD8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Alter execution strip to read as follows:</w:t>
      </w:r>
    </w:p>
    <w:p w14:paraId="0000001E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16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>“IN WITNESS WHEREOF these presents consisting of this page and the [ ] preceding pages are exec</w:t>
      </w:r>
      <w:r>
        <w:rPr>
          <w:rFonts w:ascii="Arial" w:eastAsia="Arial" w:hAnsi="Arial" w:cs="Arial"/>
          <w:smallCaps/>
          <w:color w:val="000000"/>
        </w:rPr>
        <w:t>uted in duplicate as follows:</w:t>
      </w:r>
    </w:p>
    <w:p w14:paraId="0000001F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>SIGNATURE:</w:t>
      </w:r>
    </w:p>
    <w:p w14:paraId="00000020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 xml:space="preserve">Name: </w:t>
      </w:r>
    </w:p>
    <w:p w14:paraId="00000021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>Position:</w:t>
      </w:r>
    </w:p>
    <w:p w14:paraId="00000022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>Place of signing:</w:t>
      </w:r>
    </w:p>
    <w:p w14:paraId="00000023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>Date:</w:t>
      </w:r>
    </w:p>
    <w:p w14:paraId="00000024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>Witness:</w:t>
      </w:r>
    </w:p>
    <w:p w14:paraId="00000025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>Witness name:</w:t>
      </w:r>
    </w:p>
    <w:p w14:paraId="00000026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smallCaps/>
          <w:color w:val="000000"/>
        </w:rPr>
      </w:pPr>
      <w:r>
        <w:rPr>
          <w:rFonts w:ascii="Arial" w:eastAsia="Arial" w:hAnsi="Arial" w:cs="Arial"/>
          <w:smallCaps/>
          <w:color w:val="000000"/>
        </w:rPr>
        <w:t>Witness address:”</w:t>
      </w:r>
    </w:p>
    <w:p w14:paraId="00000027" w14:textId="77777777" w:rsidR="00F637F5" w:rsidRDefault="00F637F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</w:rPr>
      </w:pPr>
    </w:p>
    <w:p w14:paraId="00000029" w14:textId="7492CAE9" w:rsidR="00F637F5" w:rsidRPr="00CA46DE" w:rsidRDefault="00655AD8" w:rsidP="00CA46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color w:val="000000"/>
        </w:rPr>
      </w:pPr>
      <w:r>
        <w:rPr>
          <w:rFonts w:ascii="Arial" w:eastAsia="Arial" w:hAnsi="Arial" w:cs="Arial"/>
          <w:b/>
          <w:color w:val="000000"/>
        </w:rPr>
        <w:t>Changes to Call-Off Schedules</w:t>
      </w:r>
    </w:p>
    <w:p w14:paraId="0000002B" w14:textId="67359465" w:rsidR="00F637F5" w:rsidRDefault="00655AD8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[Buyer Guidance</w:t>
      </w:r>
      <w:r>
        <w:rPr>
          <w:rFonts w:ascii="Arial" w:eastAsia="Arial" w:hAnsi="Arial" w:cs="Arial"/>
        </w:rPr>
        <w:t xml:space="preserve"> Insert any amendments to the Call-Off schedules where Scottish Law applies]</w:t>
      </w:r>
    </w:p>
    <w:p w14:paraId="0D8AC2A2" w14:textId="77777777" w:rsidR="00CA46DE" w:rsidRDefault="00CA46DE">
      <w:pPr>
        <w:rPr>
          <w:rFonts w:ascii="Arial" w:eastAsia="Arial" w:hAnsi="Arial" w:cs="Arial"/>
        </w:rPr>
      </w:pPr>
      <w:bookmarkStart w:id="1" w:name="_GoBack"/>
      <w:bookmarkEnd w:id="1"/>
    </w:p>
    <w:p w14:paraId="0000002C" w14:textId="77777777" w:rsidR="00F637F5" w:rsidRDefault="00655A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color w:val="000000"/>
        </w:rPr>
      </w:pPr>
      <w:r>
        <w:rPr>
          <w:rFonts w:ascii="Arial" w:eastAsia="Arial" w:hAnsi="Arial" w:cs="Arial"/>
          <w:b/>
          <w:color w:val="000000"/>
        </w:rPr>
        <w:lastRenderedPageBreak/>
        <w:t>References to Legislation</w:t>
      </w:r>
    </w:p>
    <w:p w14:paraId="0000002D" w14:textId="77777777" w:rsidR="00F637F5" w:rsidRDefault="00655AD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57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Where legislation applicable to England and Wales only is expressly mentioned in this Call </w:t>
      </w:r>
      <w:proofErr w:type="gramStart"/>
      <w:r>
        <w:rPr>
          <w:rFonts w:ascii="Arial" w:eastAsia="Arial" w:hAnsi="Arial" w:cs="Arial"/>
          <w:color w:val="000000"/>
        </w:rPr>
        <w:t>Off</w:t>
      </w:r>
      <w:proofErr w:type="gramEnd"/>
      <w:r>
        <w:rPr>
          <w:rFonts w:ascii="Arial" w:eastAsia="Arial" w:hAnsi="Arial" w:cs="Arial"/>
          <w:color w:val="000000"/>
        </w:rPr>
        <w:t xml:space="preserve"> Contract it shall have the effect of substituting the equivalent legislation applicable in Scotland. </w:t>
      </w:r>
    </w:p>
    <w:p w14:paraId="0000002E" w14:textId="77777777" w:rsidR="00F637F5" w:rsidRDefault="00F637F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</w:rPr>
      </w:pPr>
    </w:p>
    <w:sectPr w:rsidR="00F637F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879A" w14:textId="77777777" w:rsidR="00655AD8" w:rsidRDefault="00655AD8">
      <w:pPr>
        <w:spacing w:after="0" w:line="240" w:lineRule="auto"/>
      </w:pPr>
      <w:r>
        <w:separator/>
      </w:r>
    </w:p>
  </w:endnote>
  <w:endnote w:type="continuationSeparator" w:id="0">
    <w:p w14:paraId="55D21654" w14:textId="77777777" w:rsidR="00655AD8" w:rsidRDefault="00655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3" w14:textId="77777777" w:rsidR="00F637F5" w:rsidRDefault="00F637F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34" w14:textId="77777777" w:rsidR="00F637F5" w:rsidRDefault="00655AD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RM1043.7</w:t>
    </w:r>
  </w:p>
  <w:p w14:paraId="00000035" w14:textId="0007AB8C" w:rsidR="00F637F5" w:rsidRDefault="00CA46D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Version: </w:t>
    </w:r>
    <w:r w:rsidR="00655AD8">
      <w:rPr>
        <w:rFonts w:ascii="Arial" w:eastAsia="Arial" w:hAnsi="Arial" w:cs="Arial"/>
        <w:sz w:val="20"/>
        <w:szCs w:val="20"/>
      </w:rPr>
      <w:t>1.0</w:t>
    </w:r>
    <w:r w:rsidR="00655AD8">
      <w:rPr>
        <w:rFonts w:ascii="Arial" w:eastAsia="Arial" w:hAnsi="Arial" w:cs="Arial"/>
        <w:sz w:val="20"/>
        <w:szCs w:val="20"/>
      </w:rPr>
      <w:tab/>
    </w:r>
    <w:r w:rsidR="00655AD8">
      <w:rPr>
        <w:rFonts w:ascii="Arial" w:eastAsia="Arial" w:hAnsi="Arial" w:cs="Arial"/>
        <w:sz w:val="20"/>
        <w:szCs w:val="20"/>
      </w:rPr>
      <w:tab/>
    </w:r>
    <w:r w:rsidR="00655AD8">
      <w:rPr>
        <w:rFonts w:ascii="Arial" w:eastAsia="Arial" w:hAnsi="Arial" w:cs="Arial"/>
        <w:sz w:val="20"/>
        <w:szCs w:val="20"/>
      </w:rPr>
      <w:fldChar w:fldCharType="begin"/>
    </w:r>
    <w:r w:rsidR="00655AD8"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>
      <w:rPr>
        <w:rFonts w:ascii="Arial" w:eastAsia="Arial" w:hAnsi="Arial" w:cs="Arial"/>
        <w:noProof/>
        <w:sz w:val="20"/>
        <w:szCs w:val="20"/>
      </w:rPr>
      <w:t>1</w:t>
    </w:r>
    <w:r w:rsidR="00655AD8">
      <w:rPr>
        <w:rFonts w:ascii="Arial" w:eastAsia="Arial" w:hAnsi="Arial" w:cs="Arial"/>
        <w:sz w:val="20"/>
        <w:szCs w:val="20"/>
      </w:rPr>
      <w:fldChar w:fldCharType="end"/>
    </w:r>
    <w:r w:rsidR="00655AD8">
      <w:rPr>
        <w:rFonts w:ascii="Arial" w:eastAsia="Arial" w:hAnsi="Arial" w:cs="Arial"/>
        <w:sz w:val="20"/>
        <w:szCs w:val="20"/>
      </w:rPr>
      <w:t xml:space="preserve"> </w:t>
    </w:r>
  </w:p>
  <w:p w14:paraId="00000036" w14:textId="7EE1F7F2" w:rsidR="00F637F5" w:rsidRDefault="00F637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5B33C" w14:textId="77777777" w:rsidR="00655AD8" w:rsidRDefault="00655AD8">
      <w:pPr>
        <w:spacing w:after="0" w:line="240" w:lineRule="auto"/>
      </w:pPr>
      <w:r>
        <w:separator/>
      </w:r>
    </w:p>
  </w:footnote>
  <w:footnote w:type="continuationSeparator" w:id="0">
    <w:p w14:paraId="1673952B" w14:textId="77777777" w:rsidR="00655AD8" w:rsidRDefault="00655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F" w14:textId="77777777" w:rsidR="00F637F5" w:rsidRDefault="00655A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0" w14:textId="77777777" w:rsidR="00F637F5" w:rsidRDefault="00655A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1" w14:textId="45436716" w:rsidR="00F637F5" w:rsidRDefault="00655A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CA46DE">
      <w:rPr>
        <w:rFonts w:ascii="Arial" w:eastAsia="Arial" w:hAnsi="Arial" w:cs="Arial"/>
        <w:color w:val="000000"/>
        <w:sz w:val="20"/>
        <w:szCs w:val="20"/>
      </w:rPr>
      <w:t>20</w:t>
    </w:r>
  </w:p>
  <w:p w14:paraId="00000032" w14:textId="77777777" w:rsidR="00F637F5" w:rsidRDefault="00F637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B14BA"/>
    <w:multiLevelType w:val="multilevel"/>
    <w:tmpl w:val="3FF29058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Calibri" w:hAnsi="Arial" w:cs="Arial" w:hint="default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73C52A48"/>
    <w:multiLevelType w:val="multilevel"/>
    <w:tmpl w:val="AC805D4A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7F5"/>
    <w:rsid w:val="00655AD8"/>
    <w:rsid w:val="00CA46DE"/>
    <w:rsid w:val="00F6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02D71"/>
  <w15:docId w15:val="{FC6508BD-A0B5-4DB1-A68C-A05C2E91E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M5AlD7bl5M3kcmJ+IeS9nHICAg==">AMUW2mUI44FfIopk4Vz8r85+omokcWHfifsLWOdHOLXoCy/p/PEjyTMuYfXp2YYvonDBGM/YhCtE77aOZO04HElQgpxHvIidjMNLh2o4PCt3AIjS+CauLCgxS92X3fd/0fLMLiH/IYjpXu38hPC3vuEUNfz813OQn2cf6swn0EfNO/00zg22lhaeFL0SFYB+VZHoDTANsCmK3C8aMwkK6WPGnHwWETQhAQ==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3150</Characters>
  <Application>Microsoft Office Word</Application>
  <DocSecurity>0</DocSecurity>
  <Lines>26</Lines>
  <Paragraphs>7</Paragraphs>
  <ScaleCrop>false</ScaleCrop>
  <Company>Cabinet Office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Paul Sergison</cp:lastModifiedBy>
  <cp:revision>2</cp:revision>
  <dcterms:created xsi:type="dcterms:W3CDTF">2020-09-15T10:11:00Z</dcterms:created>
  <dcterms:modified xsi:type="dcterms:W3CDTF">2020-10-06T08:30:00Z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